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04982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2277854"/>
      <w:r>
        <w:rPr>
          <w:sz w:val="52"/>
          <w:szCs w:val="52"/>
        </w:rPr>
        <w:t>SOUHRNNÁ TECHNICKÁ ZPRÁVA</w:t>
      </w:r>
      <w:bookmarkEnd w:id="0"/>
    </w:p>
    <w:p w14:paraId="06B0C77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46E1AFEC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EC6D63">
        <w:rPr>
          <w:b/>
          <w:sz w:val="44"/>
        </w:rPr>
        <w:t>SLUŠOVICE</w:t>
      </w:r>
    </w:p>
    <w:p w14:paraId="5B26BC56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54B78205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81413A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5428A11" w14:textId="610ECEEA" w:rsidR="00766015" w:rsidRDefault="00EF2052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2378F37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F03DD7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725434C2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69EAE831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220A871" w14:textId="77777777" w:rsidR="00766015" w:rsidRDefault="00766015" w:rsidP="008D4C9E"/>
        </w:tc>
      </w:tr>
      <w:tr w:rsidR="00766015" w14:paraId="1523B30C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3DA846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11747A1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218944C5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59898B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A289282" w14:textId="5A2B9322" w:rsidR="00766015" w:rsidRDefault="00EF2052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718267C2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A1FEE3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6038E9A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32D3780F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75B1B794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3DDCAAB1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558D20F1" w14:textId="77777777" w:rsidR="006E6EAB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6E6EAB">
        <w:rPr>
          <w:noProof/>
        </w:rPr>
        <w:t>SOUHRNNÁ TECHNICKÁ ZPRÁVA</w:t>
      </w:r>
      <w:r w:rsidR="006E6EAB">
        <w:rPr>
          <w:noProof/>
        </w:rPr>
        <w:tab/>
      </w:r>
      <w:r w:rsidR="006E6EAB">
        <w:rPr>
          <w:noProof/>
        </w:rPr>
        <w:fldChar w:fldCharType="begin"/>
      </w:r>
      <w:r w:rsidR="006E6EAB">
        <w:rPr>
          <w:noProof/>
        </w:rPr>
        <w:instrText xml:space="preserve"> PAGEREF _Toc492277854 \h </w:instrText>
      </w:r>
      <w:r w:rsidR="006E6EAB">
        <w:rPr>
          <w:noProof/>
        </w:rPr>
      </w:r>
      <w:r w:rsidR="006E6EAB">
        <w:rPr>
          <w:noProof/>
        </w:rPr>
        <w:fldChar w:fldCharType="separate"/>
      </w:r>
      <w:r w:rsidR="006E6EAB">
        <w:rPr>
          <w:noProof/>
        </w:rPr>
        <w:t>1</w:t>
      </w:r>
      <w:r w:rsidR="006E6EAB">
        <w:rPr>
          <w:noProof/>
        </w:rPr>
        <w:fldChar w:fldCharType="end"/>
      </w:r>
    </w:p>
    <w:p w14:paraId="223592D2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_Toc492277855 \h </w:instrText>
      </w:r>
      <w:r>
        <w:fldChar w:fldCharType="separate"/>
      </w:r>
      <w:r>
        <w:t>4</w:t>
      </w:r>
      <w:r>
        <w:fldChar w:fldCharType="end"/>
      </w:r>
    </w:p>
    <w:p w14:paraId="7C4E50E3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_Toc492277856 \h </w:instrText>
      </w:r>
      <w:r>
        <w:fldChar w:fldCharType="separate"/>
      </w:r>
      <w:r>
        <w:t>5</w:t>
      </w:r>
      <w:r>
        <w:fldChar w:fldCharType="end"/>
      </w:r>
    </w:p>
    <w:p w14:paraId="6382030F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_Toc492277857 \h </w:instrText>
      </w:r>
      <w:r>
        <w:fldChar w:fldCharType="separate"/>
      </w:r>
      <w:r>
        <w:t>6</w:t>
      </w:r>
      <w:r>
        <w:fldChar w:fldCharType="end"/>
      </w:r>
    </w:p>
    <w:p w14:paraId="0DBC3430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_Toc492277858 \h </w:instrText>
      </w:r>
      <w:r>
        <w:fldChar w:fldCharType="separate"/>
      </w:r>
      <w:r>
        <w:t>6</w:t>
      </w:r>
      <w:r>
        <w:fldChar w:fldCharType="end"/>
      </w:r>
    </w:p>
    <w:p w14:paraId="082AD1D5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_Toc492277859 \h </w:instrText>
      </w:r>
      <w:r>
        <w:fldChar w:fldCharType="separate"/>
      </w:r>
      <w:r>
        <w:t>7</w:t>
      </w:r>
      <w:r>
        <w:fldChar w:fldCharType="end"/>
      </w:r>
    </w:p>
    <w:p w14:paraId="6DC09B4A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_Toc492277860 \h </w:instrText>
      </w:r>
      <w:r>
        <w:fldChar w:fldCharType="separate"/>
      </w:r>
      <w:r>
        <w:t>7</w:t>
      </w:r>
      <w:r>
        <w:fldChar w:fldCharType="end"/>
      </w:r>
    </w:p>
    <w:p w14:paraId="11124798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_Toc492277861 \h </w:instrText>
      </w:r>
      <w:r>
        <w:fldChar w:fldCharType="separate"/>
      </w:r>
      <w:r>
        <w:t>8</w:t>
      </w:r>
      <w:r>
        <w:fldChar w:fldCharType="end"/>
      </w:r>
    </w:p>
    <w:p w14:paraId="0551404E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_Toc492277862 \h </w:instrText>
      </w:r>
      <w:r>
        <w:fldChar w:fldCharType="separate"/>
      </w:r>
      <w:r>
        <w:t>8</w:t>
      </w:r>
      <w:r>
        <w:fldChar w:fldCharType="end"/>
      </w:r>
    </w:p>
    <w:p w14:paraId="191C98A6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7918E780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4B76197A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8A1FE9" w:rsidRPr="002B0419" w14:paraId="29076B82" w14:textId="77777777" w:rsidTr="001E3B05">
        <w:tc>
          <w:tcPr>
            <w:tcW w:w="2943" w:type="dxa"/>
            <w:shd w:val="clear" w:color="auto" w:fill="auto"/>
          </w:tcPr>
          <w:p w14:paraId="0CBC4074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2D016188" w14:textId="77777777" w:rsidR="008A1FE9" w:rsidRPr="002B0419" w:rsidRDefault="008A1FE9" w:rsidP="00402B1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EC6D63">
              <w:rPr>
                <w:rFonts w:ascii="Arial Narrow" w:hAnsi="Arial Narrow" w:cs="Times New Roman"/>
                <w:b/>
              </w:rPr>
              <w:t>Slušovice</w:t>
            </w:r>
          </w:p>
        </w:tc>
      </w:tr>
      <w:tr w:rsidR="008A1FE9" w:rsidRPr="002B0419" w14:paraId="58838A5C" w14:textId="77777777" w:rsidTr="003D22C9">
        <w:tc>
          <w:tcPr>
            <w:tcW w:w="2943" w:type="dxa"/>
            <w:shd w:val="clear" w:color="auto" w:fill="auto"/>
          </w:tcPr>
          <w:p w14:paraId="1CB4308C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47B727ED" w14:textId="77777777" w:rsidR="008A1FE9" w:rsidRPr="001E3B05" w:rsidRDefault="008A1FE9" w:rsidP="00402B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 w:rsidR="00EC6D63">
              <w:rPr>
                <w:rFonts w:ascii="Arial Narrow" w:hAnsi="Arial Narrow" w:cs="Times New Roman"/>
              </w:rPr>
              <w:t>Slušovice</w:t>
            </w:r>
            <w:r w:rsidRPr="001E3B05">
              <w:rPr>
                <w:rFonts w:ascii="Arial Narrow" w:hAnsi="Arial Narrow" w:cs="Times New Roman"/>
              </w:rPr>
              <w:t xml:space="preserve"> na řece </w:t>
            </w:r>
            <w:r w:rsidR="00EC6D63">
              <w:rPr>
                <w:rFonts w:ascii="Arial Narrow" w:hAnsi="Arial Narrow" w:cs="Times New Roman"/>
              </w:rPr>
              <w:t>Dřevnice</w:t>
            </w:r>
          </w:p>
        </w:tc>
      </w:tr>
      <w:tr w:rsidR="008A1FE9" w:rsidRPr="002B0419" w14:paraId="30345C24" w14:textId="77777777" w:rsidTr="003D22C9">
        <w:tc>
          <w:tcPr>
            <w:tcW w:w="2943" w:type="dxa"/>
            <w:shd w:val="clear" w:color="auto" w:fill="auto"/>
          </w:tcPr>
          <w:p w14:paraId="495FCE67" w14:textId="77777777" w:rsidR="008A1FE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7B7E1D3B" w14:textId="77777777" w:rsidR="008A1FE9" w:rsidRPr="002B0419" w:rsidRDefault="008A1FE9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77AD21CD" w14:textId="77777777" w:rsidTr="003D22C9">
        <w:tc>
          <w:tcPr>
            <w:tcW w:w="2943" w:type="dxa"/>
            <w:shd w:val="clear" w:color="auto" w:fill="auto"/>
          </w:tcPr>
          <w:p w14:paraId="63BFA6B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4A6BD249" w14:textId="77777777" w:rsidR="00EC6D63" w:rsidRPr="00EC6D63" w:rsidRDefault="00EC6D63" w:rsidP="00EC6D6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C6D63">
              <w:rPr>
                <w:rFonts w:ascii="Arial Narrow" w:hAnsi="Arial Narrow" w:cs="Times New Roman"/>
              </w:rPr>
              <w:t xml:space="preserve">747/2, 830/1, 758/4, 830/2, 831/1, 758/4, k.ú. Hrobice na  </w:t>
            </w:r>
          </w:p>
          <w:p w14:paraId="256F1483" w14:textId="77777777" w:rsidR="00EC6D63" w:rsidRPr="00EC6D63" w:rsidRDefault="00EC6D63" w:rsidP="00EC6D6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C6D63">
              <w:rPr>
                <w:rFonts w:ascii="Arial Narrow" w:hAnsi="Arial Narrow" w:cs="Times New Roman"/>
              </w:rPr>
              <w:t>Moravě</w:t>
            </w:r>
          </w:p>
          <w:p w14:paraId="31729ED6" w14:textId="77777777" w:rsidR="00EC6D63" w:rsidRPr="00EC6D63" w:rsidRDefault="00EC6D63" w:rsidP="00EC6D6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C6D63">
              <w:rPr>
                <w:rFonts w:ascii="Arial Narrow" w:hAnsi="Arial Narrow" w:cs="Times New Roman"/>
              </w:rPr>
              <w:t>734, k.ú. Trnava u Zlína, 1911/35, k.ú. Kašava</w:t>
            </w:r>
          </w:p>
          <w:p w14:paraId="154448E4" w14:textId="77777777" w:rsidR="003D22C9" w:rsidRPr="002B0419" w:rsidRDefault="00EC6D63" w:rsidP="00EC6D6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C6D63">
              <w:rPr>
                <w:rFonts w:ascii="Arial Narrow" w:hAnsi="Arial Narrow" w:cs="Times New Roman"/>
              </w:rPr>
              <w:t>1490/4, k.ú. Slušovice, 5318/73, k.ú. Vizovice</w:t>
            </w:r>
          </w:p>
        </w:tc>
      </w:tr>
      <w:tr w:rsidR="003D22C9" w:rsidRPr="002B0419" w14:paraId="6E2F2568" w14:textId="77777777" w:rsidTr="003D22C9">
        <w:tc>
          <w:tcPr>
            <w:tcW w:w="2943" w:type="dxa"/>
            <w:shd w:val="clear" w:color="auto" w:fill="auto"/>
          </w:tcPr>
          <w:p w14:paraId="47F6A08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B79E410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58C135C9" w14:textId="77777777" w:rsidTr="003D22C9">
        <w:tc>
          <w:tcPr>
            <w:tcW w:w="2943" w:type="dxa"/>
            <w:shd w:val="clear" w:color="auto" w:fill="auto"/>
          </w:tcPr>
          <w:p w14:paraId="21BB00B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1E164E29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70FD5F87" w14:textId="77777777" w:rsidTr="003D22C9">
        <w:tc>
          <w:tcPr>
            <w:tcW w:w="2943" w:type="dxa"/>
            <w:shd w:val="clear" w:color="auto" w:fill="auto"/>
          </w:tcPr>
          <w:p w14:paraId="0739576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3DDA0BA4" w14:textId="6B316127" w:rsidR="003D22C9" w:rsidRPr="002B0419" w:rsidRDefault="00EF2052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>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0C4CE8F" w14:textId="77777777" w:rsidTr="003D22C9">
        <w:tc>
          <w:tcPr>
            <w:tcW w:w="2943" w:type="dxa"/>
            <w:shd w:val="clear" w:color="auto" w:fill="auto"/>
          </w:tcPr>
          <w:p w14:paraId="4346ACC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095F86D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0934FF5F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5135948F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ED856CE" w14:textId="77777777" w:rsidTr="003D22C9">
        <w:tc>
          <w:tcPr>
            <w:tcW w:w="2943" w:type="dxa"/>
            <w:shd w:val="clear" w:color="auto" w:fill="auto"/>
          </w:tcPr>
          <w:p w14:paraId="0F9122D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DF36E39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33A0B633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C86C50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9405242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55C0EBFA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77A7EB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15B4708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5AAEAAF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529A93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A4D833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9E1C07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64A15CEF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1D773696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1650F34E" w14:textId="77777777" w:rsidTr="003D22C9">
        <w:tc>
          <w:tcPr>
            <w:tcW w:w="2943" w:type="dxa"/>
            <w:shd w:val="clear" w:color="auto" w:fill="auto"/>
          </w:tcPr>
          <w:p w14:paraId="0175D25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0130FC6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7CF09ED2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3A92A42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26B15AAE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6CF76E1D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3609E7C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50DC97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73B3975D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B48471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4EDC479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7BC4251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BC2C25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9A78C75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3CCC7EDC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2ECFD33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5E712E3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0C2B8316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D0A1285" w14:textId="77777777" w:rsidTr="003D22C9">
        <w:tc>
          <w:tcPr>
            <w:tcW w:w="2943" w:type="dxa"/>
            <w:shd w:val="clear" w:color="auto" w:fill="auto"/>
          </w:tcPr>
          <w:p w14:paraId="7C50893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38AC822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549F6FDC" w14:textId="77777777" w:rsidTr="003D22C9">
        <w:tc>
          <w:tcPr>
            <w:tcW w:w="2943" w:type="dxa"/>
            <w:shd w:val="clear" w:color="auto" w:fill="auto"/>
          </w:tcPr>
          <w:p w14:paraId="167557E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2EBAF03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164083D6" w14:textId="77777777" w:rsidTr="003D22C9">
        <w:tc>
          <w:tcPr>
            <w:tcW w:w="2943" w:type="dxa"/>
            <w:shd w:val="clear" w:color="auto" w:fill="auto"/>
          </w:tcPr>
          <w:p w14:paraId="0393360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418B40C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46FE4E03" w14:textId="77777777" w:rsidTr="003D22C9">
        <w:tc>
          <w:tcPr>
            <w:tcW w:w="2943" w:type="dxa"/>
            <w:shd w:val="clear" w:color="auto" w:fill="auto"/>
          </w:tcPr>
          <w:p w14:paraId="440E5A0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75A145C3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2503B2D1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19EFBAB8" w14:textId="77777777" w:rsidR="00FC61D3" w:rsidRPr="00147A61" w:rsidRDefault="009E53C2" w:rsidP="00FC61D3">
      <w:pPr>
        <w:pStyle w:val="N1"/>
      </w:pPr>
      <w:bookmarkStart w:id="33" w:name="_Toc492277855"/>
      <w:r>
        <w:lastRenderedPageBreak/>
        <w:t>pOPIS ÚZEMÍ STAVBY</w:t>
      </w:r>
      <w:bookmarkEnd w:id="33"/>
    </w:p>
    <w:p w14:paraId="1CDAE090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13E5C53D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EC6D63">
        <w:rPr>
          <w:rFonts w:asciiTheme="minorHAnsi" w:hAnsiTheme="minorHAnsi"/>
          <w:sz w:val="24"/>
          <w:szCs w:val="24"/>
        </w:rPr>
        <w:t xml:space="preserve">strojovně spodních výpustí, v injekční chodbě, ve </w:t>
      </w:r>
      <w:r>
        <w:rPr>
          <w:rFonts w:asciiTheme="minorHAnsi" w:hAnsiTheme="minorHAnsi"/>
          <w:sz w:val="24"/>
          <w:szCs w:val="24"/>
        </w:rPr>
        <w:t xml:space="preserve">věžovém objektu, v areálu domku hrázného a v limnigrafické stanici na odtoku. </w:t>
      </w:r>
      <w:r w:rsidR="00EC6D63">
        <w:rPr>
          <w:rFonts w:asciiTheme="minorHAnsi" w:hAnsiTheme="minorHAnsi"/>
          <w:sz w:val="24"/>
          <w:szCs w:val="24"/>
        </w:rPr>
        <w:t xml:space="preserve">Dále budou práce prováděny v souvisejících stanicích v profilu Kašava, Slušovice a Vizovice. </w:t>
      </w:r>
    </w:p>
    <w:p w14:paraId="70CC6F3A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DD3FB81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78647261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4084F072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47090CF8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414371D7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3732696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039C2E66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19ACB3BB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177DB03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3E19BFE8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7CE3FB7F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1343DA2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5C2D4B7D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50B5D9DE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B740338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CAC78EC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FA7E00E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464B6F9F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57060E3D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E5D0E15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72F1FFE3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48F29383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D11DFBC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51C0EC4A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7135A72D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325B5073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742A2337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0F95F436" w14:textId="77777777" w:rsidR="00FC61D3" w:rsidRDefault="009E53C2" w:rsidP="00FC61D3">
      <w:pPr>
        <w:pStyle w:val="N1"/>
      </w:pPr>
      <w:bookmarkStart w:id="34" w:name="_Toc492277856"/>
      <w:r>
        <w:t>Celkový popis stavby</w:t>
      </w:r>
      <w:bookmarkEnd w:id="34"/>
    </w:p>
    <w:p w14:paraId="06C67F95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081920F1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EC6D63">
        <w:rPr>
          <w:rFonts w:asciiTheme="minorHAnsi" w:hAnsiTheme="minorHAnsi"/>
          <w:sz w:val="24"/>
          <w:szCs w:val="24"/>
        </w:rPr>
        <w:t>Slušovice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47117EAA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nádrži, teplotu vody a vzduchu, výměnu srážkoměru a modernizace měření v odtokovém limnigraf</w:t>
      </w:r>
      <w:r w:rsidR="00EC6D63">
        <w:rPr>
          <w:rFonts w:asciiTheme="minorHAnsi" w:hAnsiTheme="minorHAnsi"/>
          <w:sz w:val="24"/>
          <w:szCs w:val="24"/>
        </w:rPr>
        <w:t xml:space="preserve">u. Dále bude nově zrealizováno 29 </w:t>
      </w:r>
      <w:r>
        <w:rPr>
          <w:rFonts w:asciiTheme="minorHAnsi" w:hAnsiTheme="minorHAnsi"/>
          <w:sz w:val="24"/>
          <w:szCs w:val="24"/>
        </w:rPr>
        <w:t xml:space="preserve">měření TBD veličin.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053513AE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6040BE78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2ED7EDA4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2CC48392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09F84D76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15C05E0B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B.2.4. Bezbariérové užívání stavby</w:t>
      </w:r>
    </w:p>
    <w:p w14:paraId="0FE48BFD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4DDB2108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6A8F0B9E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0CBD92D4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5FB68E1B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EC6D63">
        <w:rPr>
          <w:rFonts w:asciiTheme="minorHAnsi" w:hAnsiTheme="minorHAnsi"/>
          <w:sz w:val="24"/>
          <w:szCs w:val="24"/>
        </w:rPr>
        <w:t>Slušovice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EC6D63">
        <w:rPr>
          <w:rFonts w:asciiTheme="minorHAnsi" w:hAnsiTheme="minorHAnsi"/>
          <w:sz w:val="24"/>
          <w:szCs w:val="24"/>
        </w:rPr>
        <w:t>Dřevnice</w:t>
      </w:r>
      <w:r w:rsidR="003946F4">
        <w:rPr>
          <w:rFonts w:asciiTheme="minorHAnsi" w:hAnsiTheme="minorHAnsi"/>
          <w:sz w:val="24"/>
          <w:szCs w:val="24"/>
        </w:rPr>
        <w:t xml:space="preserve"> </w:t>
      </w:r>
    </w:p>
    <w:p w14:paraId="7976796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0F125A" w:rsidRPr="000F125A" w14:paraId="14F7EFC3" w14:textId="77777777" w:rsidTr="00402B17">
        <w:tc>
          <w:tcPr>
            <w:tcW w:w="6237" w:type="dxa"/>
          </w:tcPr>
          <w:p w14:paraId="511C24DB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Kóta dna nádrže</w:t>
            </w:r>
          </w:p>
        </w:tc>
        <w:tc>
          <w:tcPr>
            <w:tcW w:w="2139" w:type="dxa"/>
          </w:tcPr>
          <w:p w14:paraId="3FBEC77D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288,80 m"/>
              </w:smartTagPr>
              <w:r w:rsidRPr="000F125A">
                <w:rPr>
                  <w:rFonts w:asciiTheme="minorHAnsi" w:hAnsiTheme="minorHAnsi" w:cs="Times New Roman"/>
                </w:rPr>
                <w:t>288,80 m</w:t>
              </w:r>
            </w:smartTag>
            <w:r w:rsidRPr="000F125A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0F125A" w:rsidRPr="000F125A" w14:paraId="65AB76D2" w14:textId="77777777" w:rsidTr="00402B17">
        <w:tc>
          <w:tcPr>
            <w:tcW w:w="6237" w:type="dxa"/>
          </w:tcPr>
          <w:p w14:paraId="06B5CE28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Kóta hladiny stálého nadržení  </w:t>
            </w:r>
          </w:p>
        </w:tc>
        <w:tc>
          <w:tcPr>
            <w:tcW w:w="2139" w:type="dxa"/>
          </w:tcPr>
          <w:p w14:paraId="07B27E7F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302,00 m"/>
              </w:smartTagPr>
              <w:r w:rsidRPr="000F125A">
                <w:rPr>
                  <w:rFonts w:asciiTheme="minorHAnsi" w:hAnsiTheme="minorHAnsi" w:cs="Times New Roman"/>
                </w:rPr>
                <w:t>302,00 m</w:t>
              </w:r>
            </w:smartTag>
            <w:r w:rsidRPr="000F125A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0F125A" w:rsidRPr="000F125A" w14:paraId="25434E8C" w14:textId="77777777" w:rsidTr="00402B17">
        <w:tc>
          <w:tcPr>
            <w:tcW w:w="6237" w:type="dxa"/>
          </w:tcPr>
          <w:p w14:paraId="7DFA4854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Objem prostoru stálého nadržení</w:t>
            </w:r>
          </w:p>
        </w:tc>
        <w:tc>
          <w:tcPr>
            <w:tcW w:w="2139" w:type="dxa"/>
          </w:tcPr>
          <w:p w14:paraId="05B5A9E4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1 567 160  m3</w:t>
            </w:r>
          </w:p>
        </w:tc>
      </w:tr>
      <w:tr w:rsidR="000F125A" w:rsidRPr="000F125A" w14:paraId="2D137A8A" w14:textId="77777777" w:rsidTr="00402B17">
        <w:tc>
          <w:tcPr>
            <w:tcW w:w="6237" w:type="dxa"/>
          </w:tcPr>
          <w:p w14:paraId="2229059C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hlad. stálého nadržení</w:t>
            </w:r>
          </w:p>
        </w:tc>
        <w:tc>
          <w:tcPr>
            <w:tcW w:w="2139" w:type="dxa"/>
          </w:tcPr>
          <w:p w14:paraId="1AC906B8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27,248 ha"/>
              </w:smartTagPr>
              <w:r w:rsidRPr="000F125A">
                <w:rPr>
                  <w:rFonts w:asciiTheme="minorHAnsi" w:hAnsiTheme="minorHAnsi" w:cs="Times New Roman"/>
                </w:rPr>
                <w:t>27,248 ha</w:t>
              </w:r>
            </w:smartTag>
          </w:p>
        </w:tc>
      </w:tr>
    </w:tbl>
    <w:p w14:paraId="5F50D4BA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3AFDC02F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0F125A" w:rsidRPr="000F125A" w14:paraId="3CAE8E27" w14:textId="77777777" w:rsidTr="00402B17">
        <w:tc>
          <w:tcPr>
            <w:tcW w:w="6310" w:type="dxa"/>
          </w:tcPr>
          <w:p w14:paraId="33C29208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Kóta min. hladiny zásobního prostoru</w:t>
            </w:r>
          </w:p>
        </w:tc>
        <w:tc>
          <w:tcPr>
            <w:tcW w:w="2066" w:type="dxa"/>
          </w:tcPr>
          <w:p w14:paraId="4A691745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302,00 m"/>
              </w:smartTagPr>
              <w:r w:rsidRPr="000F125A">
                <w:rPr>
                  <w:rFonts w:asciiTheme="minorHAnsi" w:hAnsiTheme="minorHAnsi" w:cs="Times New Roman"/>
                </w:rPr>
                <w:t>302,00 m</w:t>
              </w:r>
            </w:smartTag>
            <w:r w:rsidRPr="000F125A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0F125A" w:rsidRPr="000F125A" w14:paraId="760C9D36" w14:textId="77777777" w:rsidTr="00402B17">
        <w:tc>
          <w:tcPr>
            <w:tcW w:w="6310" w:type="dxa"/>
          </w:tcPr>
          <w:p w14:paraId="0F905114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Kóta  max. hladiny zásobního prostoru    /přeliv/</w:t>
            </w:r>
          </w:p>
        </w:tc>
        <w:tc>
          <w:tcPr>
            <w:tcW w:w="2066" w:type="dxa"/>
          </w:tcPr>
          <w:p w14:paraId="2E8316C0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316,40  m n.m.</w:t>
            </w:r>
          </w:p>
        </w:tc>
      </w:tr>
      <w:tr w:rsidR="000F125A" w:rsidRPr="000F125A" w14:paraId="66849667" w14:textId="77777777" w:rsidTr="00402B17">
        <w:tc>
          <w:tcPr>
            <w:tcW w:w="6310" w:type="dxa"/>
          </w:tcPr>
          <w:p w14:paraId="5CF81C2C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Objem zásobního prostoru </w:t>
            </w:r>
          </w:p>
        </w:tc>
        <w:tc>
          <w:tcPr>
            <w:tcW w:w="2066" w:type="dxa"/>
          </w:tcPr>
          <w:p w14:paraId="355DB20E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7 245 192  m3</w:t>
            </w:r>
          </w:p>
        </w:tc>
      </w:tr>
      <w:tr w:rsidR="000F125A" w:rsidRPr="000F125A" w14:paraId="45C53297" w14:textId="77777777" w:rsidTr="00402B17">
        <w:tc>
          <w:tcPr>
            <w:tcW w:w="6310" w:type="dxa"/>
          </w:tcPr>
          <w:p w14:paraId="078AED06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Zatopená plocha při  max. zásobní hladině </w:t>
            </w:r>
          </w:p>
        </w:tc>
        <w:tc>
          <w:tcPr>
            <w:tcW w:w="2066" w:type="dxa"/>
          </w:tcPr>
          <w:p w14:paraId="77B3BF77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14,40  ha</w:t>
            </w:r>
          </w:p>
        </w:tc>
      </w:tr>
    </w:tbl>
    <w:p w14:paraId="3932962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64B76B6C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0F125A" w:rsidRPr="000F125A" w14:paraId="4C4D2C95" w14:textId="77777777" w:rsidTr="00402B17">
        <w:tc>
          <w:tcPr>
            <w:tcW w:w="6310" w:type="dxa"/>
          </w:tcPr>
          <w:p w14:paraId="6BA107D7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Kóta min. hladiny neovladat. retenč. prostoru (přeliv)</w:t>
            </w:r>
          </w:p>
        </w:tc>
        <w:tc>
          <w:tcPr>
            <w:tcW w:w="2066" w:type="dxa"/>
          </w:tcPr>
          <w:p w14:paraId="1BB6BBBE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316,40 m"/>
              </w:smartTagPr>
              <w:r w:rsidRPr="000F125A">
                <w:rPr>
                  <w:rFonts w:asciiTheme="minorHAnsi" w:hAnsiTheme="minorHAnsi" w:cs="Times New Roman"/>
                </w:rPr>
                <w:t>316,40 m</w:t>
              </w:r>
            </w:smartTag>
            <w:r w:rsidRPr="000F125A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0F125A" w:rsidRPr="000F125A" w14:paraId="2BA23355" w14:textId="77777777" w:rsidTr="00402B17">
        <w:tc>
          <w:tcPr>
            <w:tcW w:w="6310" w:type="dxa"/>
          </w:tcPr>
          <w:p w14:paraId="47B431AF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Kóta max. hladiny retenčního prostoru .</w:t>
            </w:r>
          </w:p>
        </w:tc>
        <w:tc>
          <w:tcPr>
            <w:tcW w:w="2066" w:type="dxa"/>
          </w:tcPr>
          <w:p w14:paraId="66E2F371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317,90  m n.m.</w:t>
            </w:r>
          </w:p>
        </w:tc>
      </w:tr>
      <w:tr w:rsidR="000F125A" w:rsidRPr="000F125A" w14:paraId="2DADDAF7" w14:textId="77777777" w:rsidTr="00402B17">
        <w:tc>
          <w:tcPr>
            <w:tcW w:w="6310" w:type="dxa"/>
          </w:tcPr>
          <w:p w14:paraId="08981255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Objem neovladatelného retenčního prostoru</w:t>
            </w:r>
          </w:p>
        </w:tc>
        <w:tc>
          <w:tcPr>
            <w:tcW w:w="2066" w:type="dxa"/>
          </w:tcPr>
          <w:p w14:paraId="4D04012C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smartTag w:uri="urn:schemas-microsoft-com:office:smarttags" w:element="metricconverter">
              <w:smartTagPr>
                <w:attr w:name="ProductID" w:val="1 136 666 m3"/>
              </w:smartTagPr>
              <w:r w:rsidRPr="000F125A">
                <w:rPr>
                  <w:rFonts w:asciiTheme="minorHAnsi" w:hAnsiTheme="minorHAnsi" w:cs="Times New Roman"/>
                </w:rPr>
                <w:t>1 136 666 m3</w:t>
              </w:r>
            </w:smartTag>
          </w:p>
        </w:tc>
      </w:tr>
      <w:tr w:rsidR="000F125A" w:rsidRPr="000F125A" w14:paraId="765ADE92" w14:textId="77777777" w:rsidTr="00402B17">
        <w:tc>
          <w:tcPr>
            <w:tcW w:w="6310" w:type="dxa"/>
          </w:tcPr>
          <w:p w14:paraId="01B5F161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3BF9B9D4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   </w:t>
            </w:r>
            <w:smartTag w:uri="urn:schemas-microsoft-com:office:smarttags" w:element="metricconverter">
              <w:smartTagPr>
                <w:attr w:name="ProductID" w:val="78,423 ha"/>
              </w:smartTagPr>
              <w:r w:rsidRPr="000F125A">
                <w:rPr>
                  <w:rFonts w:asciiTheme="minorHAnsi" w:hAnsiTheme="minorHAnsi" w:cs="Times New Roman"/>
                </w:rPr>
                <w:t>78,423 ha</w:t>
              </w:r>
            </w:smartTag>
          </w:p>
        </w:tc>
      </w:tr>
    </w:tbl>
    <w:p w14:paraId="17196EBE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45BA317C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0F125A" w:rsidRPr="000F125A" w14:paraId="20E290A8" w14:textId="77777777" w:rsidTr="00402B17">
        <w:tc>
          <w:tcPr>
            <w:tcW w:w="6310" w:type="dxa"/>
          </w:tcPr>
          <w:p w14:paraId="1309404F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Maximální hladina</w:t>
            </w:r>
          </w:p>
        </w:tc>
        <w:tc>
          <w:tcPr>
            <w:tcW w:w="2066" w:type="dxa"/>
          </w:tcPr>
          <w:p w14:paraId="64F4DD81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317,90   m n.m.</w:t>
            </w:r>
          </w:p>
        </w:tc>
      </w:tr>
      <w:tr w:rsidR="000F125A" w:rsidRPr="000F125A" w14:paraId="4BBE85A3" w14:textId="77777777" w:rsidTr="00402B17">
        <w:tc>
          <w:tcPr>
            <w:tcW w:w="6310" w:type="dxa"/>
          </w:tcPr>
          <w:p w14:paraId="2ED43B00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Celkový objem nádrže</w:t>
            </w:r>
          </w:p>
        </w:tc>
        <w:tc>
          <w:tcPr>
            <w:tcW w:w="2066" w:type="dxa"/>
          </w:tcPr>
          <w:p w14:paraId="1EE82ACC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9 949 018  m3</w:t>
            </w:r>
          </w:p>
        </w:tc>
      </w:tr>
      <w:tr w:rsidR="000F125A" w:rsidRPr="000F125A" w14:paraId="1DB4EC43" w14:textId="77777777" w:rsidTr="00402B17">
        <w:tc>
          <w:tcPr>
            <w:tcW w:w="6310" w:type="dxa"/>
          </w:tcPr>
          <w:p w14:paraId="67199A86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Celková zatopená plocha</w:t>
            </w:r>
          </w:p>
        </w:tc>
        <w:tc>
          <w:tcPr>
            <w:tcW w:w="2066" w:type="dxa"/>
          </w:tcPr>
          <w:p w14:paraId="5C49FE7D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78,423  ha</w:t>
            </w:r>
          </w:p>
        </w:tc>
      </w:tr>
    </w:tbl>
    <w:p w14:paraId="40D87A91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BE2D74E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 Jedná se o zemní sypanou hráz nehomogenní, se středním jílovým těsněním o výšce nade dnem údolí </w:t>
      </w:r>
      <w:r>
        <w:rPr>
          <w:rFonts w:asciiTheme="minorHAnsi" w:hAnsiTheme="minorHAnsi"/>
          <w:sz w:val="24"/>
          <w:szCs w:val="24"/>
        </w:rPr>
        <w:t xml:space="preserve">30,2 m. </w:t>
      </w:r>
    </w:p>
    <w:p w14:paraId="586AA1E0" w14:textId="77777777" w:rsidR="000F125A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je vybaveno výpustnými zařízeními. Tato zařízení jsou umístěna </w:t>
      </w:r>
      <w:r w:rsidR="000F125A">
        <w:rPr>
          <w:rFonts w:asciiTheme="minorHAnsi" w:hAnsiTheme="minorHAnsi"/>
          <w:sz w:val="24"/>
          <w:szCs w:val="24"/>
        </w:rPr>
        <w:t>ve strojovně spodních výpustí</w:t>
      </w:r>
      <w:r>
        <w:rPr>
          <w:rFonts w:asciiTheme="minorHAnsi" w:hAnsiTheme="minorHAnsi"/>
          <w:sz w:val="24"/>
          <w:szCs w:val="24"/>
        </w:rPr>
        <w:t xml:space="preserve"> objektu</w:t>
      </w:r>
      <w:r w:rsidR="000F125A">
        <w:t xml:space="preserve">, </w:t>
      </w:r>
      <w:r w:rsidR="000F125A" w:rsidRPr="000F125A">
        <w:rPr>
          <w:rFonts w:asciiTheme="minorHAnsi" w:hAnsiTheme="minorHAnsi"/>
          <w:sz w:val="24"/>
        </w:rPr>
        <w:t>která</w:t>
      </w:r>
      <w:r w:rsidRPr="000F125A">
        <w:rPr>
          <w:sz w:val="24"/>
        </w:rPr>
        <w:t xml:space="preserve"> </w:t>
      </w:r>
      <w:r w:rsidRPr="003946F4">
        <w:rPr>
          <w:rFonts w:asciiTheme="minorHAnsi" w:hAnsiTheme="minorHAnsi"/>
          <w:sz w:val="24"/>
          <w:szCs w:val="24"/>
        </w:rPr>
        <w:t>je umístěn</w:t>
      </w:r>
      <w:r w:rsidR="000F125A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sz w:val="24"/>
          <w:szCs w:val="24"/>
        </w:rPr>
        <w:t xml:space="preserve"> při levé straně hráze</w:t>
      </w:r>
      <w:r>
        <w:rPr>
          <w:rFonts w:asciiTheme="minorHAnsi" w:hAnsiTheme="minorHAnsi"/>
          <w:sz w:val="24"/>
          <w:szCs w:val="24"/>
        </w:rPr>
        <w:t>.</w:t>
      </w:r>
      <w:r w:rsidRPr="003946F4">
        <w:t xml:space="preserve"> </w:t>
      </w:r>
      <w:r w:rsidR="000F125A" w:rsidRPr="000F125A">
        <w:rPr>
          <w:rFonts w:asciiTheme="minorHAnsi" w:hAnsiTheme="minorHAnsi"/>
          <w:sz w:val="24"/>
          <w:szCs w:val="24"/>
        </w:rPr>
        <w:t xml:space="preserve">Vtokový objekt je železobetonová věž situačně umístěná před zemní hráz u levé údolní paty svahu. Je provedena jako tzv. „mokrá věž“ a skládá se ze základové konstrukce, dříku věže a strojovny. </w:t>
      </w:r>
    </w:p>
    <w:p w14:paraId="0DD106B7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Spodní výpusti </w:t>
      </w:r>
      <w:r w:rsidR="00B956F0">
        <w:rPr>
          <w:rFonts w:asciiTheme="minorHAnsi" w:hAnsiTheme="minorHAnsi"/>
          <w:sz w:val="24"/>
          <w:szCs w:val="24"/>
        </w:rPr>
        <w:t>a odběry</w:t>
      </w:r>
    </w:p>
    <w:p w14:paraId="26FB4305" w14:textId="77777777" w:rsidR="00B956F0" w:rsidRDefault="000F125A" w:rsidP="00B956F0">
      <w:pPr>
        <w:pStyle w:val="Odstavec"/>
        <w:ind w:firstLine="709"/>
        <w:jc w:val="both"/>
      </w:pPr>
      <w:r w:rsidRPr="000F125A">
        <w:rPr>
          <w:rFonts w:asciiTheme="minorHAnsi" w:hAnsiTheme="minorHAnsi"/>
          <w:sz w:val="24"/>
          <w:szCs w:val="24"/>
        </w:rPr>
        <w:t>jsou umístěny v</w:t>
      </w:r>
      <w:r>
        <w:rPr>
          <w:rFonts w:asciiTheme="minorHAnsi" w:hAnsiTheme="minorHAnsi"/>
          <w:sz w:val="24"/>
          <w:szCs w:val="24"/>
        </w:rPr>
        <w:t xml:space="preserve"> dolní části vtokového objektu,</w:t>
      </w:r>
      <w:r w:rsidRPr="000F125A">
        <w:rPr>
          <w:rFonts w:asciiTheme="minorHAnsi" w:hAnsiTheme="minorHAnsi"/>
          <w:sz w:val="24"/>
          <w:szCs w:val="24"/>
        </w:rPr>
        <w:t xml:space="preserve"> kde jsou zabudovány návodní stavidlové uzávěry a hradidla s funkcí revizního uzávěru. Vtoky spodních výpustí jsou chráněny zvenku </w:t>
      </w:r>
      <w:r w:rsidRPr="000F125A">
        <w:rPr>
          <w:rFonts w:asciiTheme="minorHAnsi" w:hAnsiTheme="minorHAnsi"/>
          <w:sz w:val="24"/>
          <w:szCs w:val="24"/>
        </w:rPr>
        <w:lastRenderedPageBreak/>
        <w:t xml:space="preserve">hrubými česlemi. Výpusti jsou dvě ocelová potrubí </w:t>
      </w:r>
      <w:r>
        <w:rPr>
          <w:rFonts w:asciiTheme="minorHAnsi" w:hAnsiTheme="minorHAnsi"/>
          <w:sz w:val="24"/>
          <w:szCs w:val="24"/>
        </w:rPr>
        <w:t>DN</w:t>
      </w:r>
      <w:r w:rsidRPr="000F125A">
        <w:rPr>
          <w:rFonts w:asciiTheme="minorHAnsi" w:hAnsiTheme="minorHAnsi"/>
          <w:sz w:val="24"/>
          <w:szCs w:val="24"/>
        </w:rPr>
        <w:t xml:space="preserve"> 1000 mm vedená štolou, která jsou ukončena kuže</w:t>
      </w:r>
      <w:r>
        <w:rPr>
          <w:rFonts w:asciiTheme="minorHAnsi" w:hAnsiTheme="minorHAnsi"/>
          <w:sz w:val="24"/>
          <w:szCs w:val="24"/>
        </w:rPr>
        <w:t>lovými uzávěry ve strojovně pod</w:t>
      </w:r>
      <w:r w:rsidRPr="000F125A">
        <w:rPr>
          <w:rFonts w:asciiTheme="minorHAnsi" w:hAnsiTheme="minorHAnsi"/>
          <w:sz w:val="24"/>
          <w:szCs w:val="24"/>
        </w:rPr>
        <w:t>hrází .</w:t>
      </w:r>
      <w:r>
        <w:rPr>
          <w:rFonts w:asciiTheme="minorHAnsi" w:hAnsiTheme="minorHAnsi"/>
          <w:sz w:val="24"/>
          <w:szCs w:val="24"/>
        </w:rPr>
        <w:t xml:space="preserve"> Dalším výpustným zařízením je hospodářská výpust </w:t>
      </w:r>
      <w:r w:rsidR="00B956F0">
        <w:rPr>
          <w:rFonts w:asciiTheme="minorHAnsi" w:hAnsiTheme="minorHAnsi"/>
          <w:sz w:val="24"/>
          <w:szCs w:val="24"/>
        </w:rPr>
        <w:t xml:space="preserve">2 x </w:t>
      </w:r>
      <w:r>
        <w:rPr>
          <w:rFonts w:asciiTheme="minorHAnsi" w:hAnsiTheme="minorHAnsi"/>
          <w:sz w:val="24"/>
          <w:szCs w:val="24"/>
        </w:rPr>
        <w:t>DN</w:t>
      </w:r>
      <w:r w:rsidR="00B956F0">
        <w:rPr>
          <w:rFonts w:asciiTheme="minorHAnsi" w:hAnsiTheme="minorHAnsi"/>
          <w:sz w:val="24"/>
          <w:szCs w:val="24"/>
        </w:rPr>
        <w:t xml:space="preserve"> 200. </w:t>
      </w:r>
      <w:r>
        <w:rPr>
          <w:rFonts w:asciiTheme="minorHAnsi" w:hAnsiTheme="minorHAnsi"/>
          <w:sz w:val="24"/>
          <w:szCs w:val="24"/>
        </w:rPr>
        <w:t xml:space="preserve"> </w:t>
      </w:r>
      <w:r w:rsidR="00B956F0" w:rsidRPr="00B956F0">
        <w:rPr>
          <w:rFonts w:asciiTheme="minorHAnsi" w:hAnsiTheme="minorHAnsi"/>
          <w:sz w:val="24"/>
          <w:szCs w:val="24"/>
        </w:rPr>
        <w:t>M</w:t>
      </w:r>
      <w:r w:rsidR="00B956F0">
        <w:rPr>
          <w:rFonts w:asciiTheme="minorHAnsi" w:hAnsiTheme="minorHAnsi"/>
          <w:sz w:val="24"/>
          <w:szCs w:val="24"/>
        </w:rPr>
        <w:t xml:space="preserve">alá vodní elektrárna Slušovice </w:t>
      </w:r>
      <w:r w:rsidR="00B956F0" w:rsidRPr="00B956F0">
        <w:rPr>
          <w:rFonts w:asciiTheme="minorHAnsi" w:hAnsiTheme="minorHAnsi"/>
          <w:sz w:val="24"/>
          <w:szCs w:val="24"/>
        </w:rPr>
        <w:t xml:space="preserve">byla instalována v </w:t>
      </w:r>
      <w:r w:rsidR="00B956F0">
        <w:rPr>
          <w:rFonts w:asciiTheme="minorHAnsi" w:hAnsiTheme="minorHAnsi"/>
          <w:sz w:val="24"/>
          <w:szCs w:val="24"/>
        </w:rPr>
        <w:t xml:space="preserve">roce 1989, v r. 1996 a 1997 </w:t>
      </w:r>
      <w:r w:rsidR="00B956F0" w:rsidRPr="00B956F0">
        <w:rPr>
          <w:rFonts w:asciiTheme="minorHAnsi" w:hAnsiTheme="minorHAnsi"/>
          <w:sz w:val="24"/>
          <w:szCs w:val="24"/>
        </w:rPr>
        <w:t xml:space="preserve"> původní turbíny Bánki </w:t>
      </w:r>
      <w:r w:rsidR="00B956F0">
        <w:rPr>
          <w:rFonts w:asciiTheme="minorHAnsi" w:hAnsiTheme="minorHAnsi"/>
          <w:sz w:val="24"/>
          <w:szCs w:val="24"/>
        </w:rPr>
        <w:t xml:space="preserve">byly </w:t>
      </w:r>
      <w:r w:rsidR="00B956F0" w:rsidRPr="00B956F0">
        <w:rPr>
          <w:rFonts w:asciiTheme="minorHAnsi" w:hAnsiTheme="minorHAnsi"/>
          <w:sz w:val="24"/>
          <w:szCs w:val="24"/>
        </w:rPr>
        <w:t>nahrazeny turbínami typu META PLUS.</w:t>
      </w:r>
      <w:r w:rsidR="00B956F0" w:rsidRPr="00B956F0">
        <w:t xml:space="preserve"> </w:t>
      </w:r>
    </w:p>
    <w:p w14:paraId="1046D490" w14:textId="77777777" w:rsidR="000F125A" w:rsidRDefault="00B956F0" w:rsidP="00B956F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B956F0">
        <w:rPr>
          <w:rFonts w:asciiTheme="minorHAnsi" w:hAnsiTheme="minorHAnsi"/>
          <w:sz w:val="24"/>
          <w:szCs w:val="24"/>
        </w:rPr>
        <w:t>Vodárenské odběry - jsou zaústěny do pravé šachty odběrné věže.</w:t>
      </w:r>
    </w:p>
    <w:p w14:paraId="08553F34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49666BC8" w14:textId="77777777" w:rsid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Boční přeliv nehraz</w:t>
      </w:r>
      <w:r w:rsidRPr="000F125A">
        <w:rPr>
          <w:rFonts w:asciiTheme="minorHAnsi" w:hAnsiTheme="minorHAnsi"/>
          <w:sz w:val="24"/>
          <w:szCs w:val="24"/>
        </w:rPr>
        <w:t>ený je situován na levém břehu nádrže. Přeliv i skluz je proveden z betonu, přelivná hrana je obložena kamennými kvádry, skluz je ukončen vývarem. Součástí skluzu je přemostění v koruně hráze.</w:t>
      </w:r>
    </w:p>
    <w:p w14:paraId="7941B2D7" w14:textId="77777777" w:rsidR="003A510F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6876E47B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34281E9F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22B8EBC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5C0F7506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58093FE5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5E5276E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73268EBC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293EB22B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545D670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43407714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1B2525CA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B2782F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35D7E345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3636A80E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69DA00B1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6B597DCF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633C6389" w14:textId="77777777" w:rsidR="006017D8" w:rsidRPr="006017D8" w:rsidRDefault="006017D8" w:rsidP="006017D8">
      <w:pPr>
        <w:pStyle w:val="N1"/>
      </w:pPr>
      <w:bookmarkStart w:id="35" w:name="_Toc492277857"/>
      <w:r w:rsidRPr="006017D8">
        <w:lastRenderedPageBreak/>
        <w:t>Připojení na technickou infrastrukturu</w:t>
      </w:r>
      <w:bookmarkEnd w:id="35"/>
    </w:p>
    <w:p w14:paraId="1EC369FF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49C60C5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4DD441FE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62F485B0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59B997AA" w14:textId="77777777" w:rsidR="006017D8" w:rsidRPr="006017D8" w:rsidRDefault="006017D8" w:rsidP="006017D8">
      <w:pPr>
        <w:pStyle w:val="N1"/>
      </w:pPr>
      <w:bookmarkStart w:id="36" w:name="_Toc492277858"/>
      <w:r w:rsidRPr="006017D8">
        <w:t>Dopravní řešení</w:t>
      </w:r>
      <w:bookmarkEnd w:id="36"/>
    </w:p>
    <w:p w14:paraId="3FFC2FB9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48BF9350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78834C5C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60155FA1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2F028738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0F0A401F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174A9166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22B8A902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213878FC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0E862B6C" w14:textId="77777777" w:rsidR="00D812A4" w:rsidRPr="006A609C" w:rsidRDefault="006A609C" w:rsidP="006A609C">
      <w:pPr>
        <w:pStyle w:val="N1"/>
      </w:pPr>
      <w:bookmarkStart w:id="37" w:name="_Toc492277859"/>
      <w:r w:rsidRPr="006A609C">
        <w:t>Řešení vegetace a souvisejících terénních úprav</w:t>
      </w:r>
      <w:bookmarkEnd w:id="37"/>
    </w:p>
    <w:p w14:paraId="4C3C99D6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4BE68B25" w14:textId="77777777" w:rsidR="00E8258F" w:rsidRDefault="00E8258F" w:rsidP="00E8258F">
      <w:pPr>
        <w:pStyle w:val="N1"/>
      </w:pPr>
      <w:bookmarkStart w:id="38" w:name="_Toc492277860"/>
      <w:r>
        <w:t>Popis vlivů na životní prostředí a jeho ochrana</w:t>
      </w:r>
      <w:bookmarkEnd w:id="38"/>
    </w:p>
    <w:p w14:paraId="6674F390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2FB0D572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2DF9531A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50F5DA5F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02C744C2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1A57C93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lastRenderedPageBreak/>
        <w:t>Způsob naložení se stavebními odpady</w:t>
      </w:r>
    </w:p>
    <w:p w14:paraId="34A8F2CA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507702A1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00ACACC4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0171013F" w14:textId="77777777" w:rsidTr="008D23CE">
        <w:tc>
          <w:tcPr>
            <w:tcW w:w="1693" w:type="dxa"/>
            <w:vAlign w:val="center"/>
          </w:tcPr>
          <w:p w14:paraId="7B6C793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0B745FE0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0A8EC84E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22A7071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7CC7E46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1B91541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31533A0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60E6630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5C31F00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749863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0AAF760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0850B64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B6C93D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2F6F4EE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0B58B398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2D2BBD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697C61B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63BDC867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2BE123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50CE09B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7B4E6240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4EE721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2A9C763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4F70C26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3DDA9E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59CBD24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0DDA4D5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91C328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19CA3F1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7EE2AF4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96B9F9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10D671D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462B4D7D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AD54B8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33BF8D3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5698D3D7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4003B1A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68C41A2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335D323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64884A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27160F7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145C8B1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D51E8E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0A6081B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3B597A11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95CD8B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19F3228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1F7F548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2DB8D1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6BBFE24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09320CD2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2ACACC6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656D1686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2505F06B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FE4F543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3DA1F49D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60228956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7FB992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7A2F8977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0CB996B1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46D6AC8A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34A5F25D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5D4FB78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56404C12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7BB337CF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25710845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7C571382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33945744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5CE49B0D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491D2946" w14:textId="77777777" w:rsidR="00E8258F" w:rsidRPr="000D59E6" w:rsidRDefault="00302BD4" w:rsidP="00302BD4">
      <w:pPr>
        <w:pStyle w:val="N1"/>
      </w:pPr>
      <w:bookmarkStart w:id="39" w:name="_Toc492277861"/>
      <w:r>
        <w:t>Ochrana obyvatelstva</w:t>
      </w:r>
      <w:bookmarkEnd w:id="39"/>
    </w:p>
    <w:p w14:paraId="7EC53D50" w14:textId="77777777" w:rsidR="00B55C59" w:rsidRPr="00713F57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6FCE32ED" w14:textId="77777777" w:rsidR="00302BD4" w:rsidRDefault="00302BD4" w:rsidP="00302BD4">
      <w:pPr>
        <w:pStyle w:val="N1"/>
      </w:pPr>
      <w:bookmarkStart w:id="40" w:name="_Toc492277862"/>
      <w:r>
        <w:t>Zásady organizace výstavby</w:t>
      </w:r>
      <w:bookmarkEnd w:id="40"/>
    </w:p>
    <w:p w14:paraId="54849A85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7E28B3DC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7A88ED10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71FB7F9D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585B8D2A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4B436A16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7449A20F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47DB1202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3A4EBA9B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7959AB04" w14:textId="668E2AB5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EF2052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EF2052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 xml:space="preserve"> 20</w:t>
      </w:r>
      <w:r w:rsidR="00EF2052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0002A913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F0CB" w14:textId="77777777" w:rsidR="00466C05" w:rsidRDefault="00466C05" w:rsidP="0081121B">
      <w:r>
        <w:separator/>
      </w:r>
    </w:p>
  </w:endnote>
  <w:endnote w:type="continuationSeparator" w:id="0">
    <w:p w14:paraId="38391190" w14:textId="77777777" w:rsidR="00466C05" w:rsidRDefault="00466C05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6EAA9C66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7B3656BD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19FE0E98" wp14:editId="4282AFB7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3EEC1E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62F50680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2810D4">
      <w:rPr>
        <w:bCs w:val="0"/>
        <w:noProof/>
      </w:rPr>
      <w:t>3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2810D4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20"/>
      <w:gridCol w:w="3873"/>
    </w:tblGrid>
    <w:tr w:rsidR="006017D8" w:rsidRPr="005D3FBE" w14:paraId="044A792E" w14:textId="77777777">
      <w:trPr>
        <w:trHeight w:val="181"/>
        <w:jc w:val="center"/>
      </w:trPr>
      <w:tc>
        <w:tcPr>
          <w:tcW w:w="10093" w:type="dxa"/>
          <w:gridSpan w:val="2"/>
          <w:tcMar>
            <w:left w:w="0" w:type="dxa"/>
            <w:right w:w="0" w:type="dxa"/>
          </w:tcMar>
          <w:vAlign w:val="center"/>
        </w:tcPr>
        <w:p w14:paraId="5DFB1466" w14:textId="77777777" w:rsidR="006017D8" w:rsidRPr="005D3FBE" w:rsidRDefault="006017D8" w:rsidP="002F7151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72DAD50F" wp14:editId="502C8993">
                <wp:extent cx="6410325" cy="38100"/>
                <wp:effectExtent l="19050" t="0" r="9525" b="0"/>
                <wp:docPr id="11" name="obráz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017D8" w14:paraId="35A06E7E" w14:textId="77777777">
      <w:trPr>
        <w:trHeight w:val="1134"/>
        <w:jc w:val="center"/>
      </w:trPr>
      <w:tc>
        <w:tcPr>
          <w:tcW w:w="6220" w:type="dxa"/>
          <w:tcMar>
            <w:left w:w="0" w:type="dxa"/>
            <w:right w:w="0" w:type="dxa"/>
          </w:tcMar>
          <w:vAlign w:val="bottom"/>
        </w:tcPr>
        <w:p w14:paraId="3817914F" w14:textId="77777777" w:rsidR="006017D8" w:rsidRPr="00C63C7F" w:rsidRDefault="006017D8" w:rsidP="00B46E56">
          <w:pPr>
            <w:rPr>
              <w:sz w:val="4"/>
              <w:szCs w:val="4"/>
            </w:rPr>
          </w:pPr>
        </w:p>
        <w:p w14:paraId="7B2E54FE" w14:textId="77777777" w:rsidR="006017D8" w:rsidRPr="00324254" w:rsidRDefault="006017D8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JAKOSTI ČSN EN ISO 9001:2001</w:t>
          </w:r>
        </w:p>
        <w:p w14:paraId="3B7F978C" w14:textId="77777777" w:rsidR="006017D8" w:rsidRPr="00324254" w:rsidRDefault="006017D8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ENVIROMENTÁLNÍHO MANAGEMENTU ČSN EN ISO 14001:2005</w:t>
          </w:r>
        </w:p>
        <w:p w14:paraId="28E5B8B1" w14:textId="77777777" w:rsidR="006017D8" w:rsidRPr="00324254" w:rsidRDefault="006017D8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BEZPEČNOSTI A OCHRANY ZDRAVÍ PŘI PRÁCI OHSAS 18001:1999</w:t>
          </w:r>
        </w:p>
        <w:p w14:paraId="0FEB282F" w14:textId="77777777" w:rsidR="006017D8" w:rsidRPr="00324254" w:rsidRDefault="006017D8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CERTIFIKACE NBÚ</w:t>
          </w:r>
        </w:p>
        <w:p w14:paraId="4B714A4C" w14:textId="77777777" w:rsidR="006017D8" w:rsidRPr="00324254" w:rsidRDefault="006017D8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OSVĚDČENÍ ČESKÉHO OBRANNÉHO STANDARDU ČOS 051622 (AQAP 2110)</w:t>
          </w:r>
        </w:p>
        <w:p w14:paraId="543C1A6D" w14:textId="77777777" w:rsidR="006017D8" w:rsidRPr="005D3FBE" w:rsidRDefault="006017D8" w:rsidP="00B46E56">
          <w:pPr>
            <w:rPr>
              <w:sz w:val="16"/>
              <w:szCs w:val="16"/>
            </w:rPr>
          </w:pPr>
          <w:r w:rsidRPr="00324254">
            <w:rPr>
              <w:sz w:val="14"/>
              <w:szCs w:val="14"/>
            </w:rPr>
            <w:t>ČLEN HOSPODÁŘSKÉ KOMORY ČR</w:t>
          </w:r>
        </w:p>
      </w:tc>
      <w:tc>
        <w:tcPr>
          <w:tcW w:w="3799" w:type="dxa"/>
          <w:tcMar>
            <w:left w:w="0" w:type="dxa"/>
            <w:right w:w="0" w:type="dxa"/>
          </w:tcMar>
          <w:vAlign w:val="bottom"/>
        </w:tcPr>
        <w:p w14:paraId="20CEB91E" w14:textId="77777777" w:rsidR="006017D8" w:rsidRDefault="006017D8" w:rsidP="009C6F16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57A6A03F" wp14:editId="2E5E748B">
                <wp:extent cx="2400300" cy="352425"/>
                <wp:effectExtent l="19050" t="0" r="0" b="0"/>
                <wp:docPr id="12" name="obráz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BBB342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06765" w14:textId="77777777" w:rsidR="00466C05" w:rsidRDefault="00466C05" w:rsidP="0081121B">
      <w:r>
        <w:separator/>
      </w:r>
    </w:p>
  </w:footnote>
  <w:footnote w:type="continuationSeparator" w:id="0">
    <w:p w14:paraId="0688BAF6" w14:textId="77777777" w:rsidR="00466C05" w:rsidRDefault="00466C05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3B1BB29E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063310A4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03904022" wp14:editId="4FF8FCFE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0120D9D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FA1246C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fax: +420 312 247 982,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63FF3BF1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51AB7E5E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6B02586A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30A02267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E0E6F4C" wp14:editId="2AD073FA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A549C71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406D1A5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0DEFB3E4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4A51C70B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2A9BD8CC" wp14:editId="37D8D15E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E4DC4D7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8854FC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fax: +420 312 247 982,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3D51B5A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02B25190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37764969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3FD4FC9C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3E4D306" wp14:editId="4C8058C8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8EBC1CA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FEB119E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6283905">
    <w:abstractNumId w:val="18"/>
  </w:num>
  <w:num w:numId="2" w16cid:durableId="721708094">
    <w:abstractNumId w:val="13"/>
  </w:num>
  <w:num w:numId="3" w16cid:durableId="78452226">
    <w:abstractNumId w:val="5"/>
  </w:num>
  <w:num w:numId="4" w16cid:durableId="1695686363">
    <w:abstractNumId w:val="12"/>
  </w:num>
  <w:num w:numId="5" w16cid:durableId="1678270002">
    <w:abstractNumId w:val="6"/>
  </w:num>
  <w:num w:numId="6" w16cid:durableId="447162237">
    <w:abstractNumId w:val="3"/>
  </w:num>
  <w:num w:numId="7" w16cid:durableId="1636108265">
    <w:abstractNumId w:val="23"/>
  </w:num>
  <w:num w:numId="8" w16cid:durableId="1502621912">
    <w:abstractNumId w:val="24"/>
  </w:num>
  <w:num w:numId="9" w16cid:durableId="1929118540">
    <w:abstractNumId w:val="21"/>
  </w:num>
  <w:num w:numId="10" w16cid:durableId="1310599818">
    <w:abstractNumId w:val="25"/>
  </w:num>
  <w:num w:numId="11" w16cid:durableId="1981034171">
    <w:abstractNumId w:val="5"/>
  </w:num>
  <w:num w:numId="12" w16cid:durableId="523059054">
    <w:abstractNumId w:val="16"/>
  </w:num>
  <w:num w:numId="13" w16cid:durableId="1704478323">
    <w:abstractNumId w:val="0"/>
  </w:num>
  <w:num w:numId="14" w16cid:durableId="440957084">
    <w:abstractNumId w:val="5"/>
  </w:num>
  <w:num w:numId="15" w16cid:durableId="465783632">
    <w:abstractNumId w:val="5"/>
  </w:num>
  <w:num w:numId="16" w16cid:durableId="404112168">
    <w:abstractNumId w:val="5"/>
  </w:num>
  <w:num w:numId="17" w16cid:durableId="710886765">
    <w:abstractNumId w:val="5"/>
  </w:num>
  <w:num w:numId="18" w16cid:durableId="1044672274">
    <w:abstractNumId w:val="5"/>
  </w:num>
  <w:num w:numId="19" w16cid:durableId="210966900">
    <w:abstractNumId w:val="19"/>
  </w:num>
  <w:num w:numId="20" w16cid:durableId="1646740970">
    <w:abstractNumId w:val="5"/>
  </w:num>
  <w:num w:numId="21" w16cid:durableId="137304380">
    <w:abstractNumId w:val="5"/>
  </w:num>
  <w:num w:numId="22" w16cid:durableId="824056197">
    <w:abstractNumId w:val="11"/>
  </w:num>
  <w:num w:numId="23" w16cid:durableId="1020354986">
    <w:abstractNumId w:val="5"/>
  </w:num>
  <w:num w:numId="24" w16cid:durableId="491064684">
    <w:abstractNumId w:val="5"/>
  </w:num>
  <w:num w:numId="25" w16cid:durableId="1677003816">
    <w:abstractNumId w:val="5"/>
  </w:num>
  <w:num w:numId="26" w16cid:durableId="1829175386">
    <w:abstractNumId w:val="5"/>
  </w:num>
  <w:num w:numId="27" w16cid:durableId="961348496">
    <w:abstractNumId w:val="5"/>
  </w:num>
  <w:num w:numId="28" w16cid:durableId="1383216339">
    <w:abstractNumId w:val="5"/>
  </w:num>
  <w:num w:numId="29" w16cid:durableId="503664648">
    <w:abstractNumId w:val="4"/>
  </w:num>
  <w:num w:numId="30" w16cid:durableId="114108763">
    <w:abstractNumId w:val="10"/>
  </w:num>
  <w:num w:numId="31" w16cid:durableId="1876891799">
    <w:abstractNumId w:val="5"/>
  </w:num>
  <w:num w:numId="32" w16cid:durableId="2084250970">
    <w:abstractNumId w:val="5"/>
  </w:num>
  <w:num w:numId="33" w16cid:durableId="2139567304">
    <w:abstractNumId w:val="20"/>
  </w:num>
  <w:num w:numId="34" w16cid:durableId="295332043">
    <w:abstractNumId w:val="7"/>
  </w:num>
  <w:num w:numId="35" w16cid:durableId="274100424">
    <w:abstractNumId w:val="8"/>
  </w:num>
  <w:num w:numId="36" w16cid:durableId="2133597818">
    <w:abstractNumId w:val="9"/>
  </w:num>
  <w:num w:numId="37" w16cid:durableId="1422336913">
    <w:abstractNumId w:val="22"/>
  </w:num>
  <w:num w:numId="38" w16cid:durableId="806161931">
    <w:abstractNumId w:val="1"/>
  </w:num>
  <w:num w:numId="39" w16cid:durableId="977219556">
    <w:abstractNumId w:val="14"/>
  </w:num>
  <w:num w:numId="40" w16cid:durableId="1108618785">
    <w:abstractNumId w:val="17"/>
  </w:num>
  <w:num w:numId="41" w16cid:durableId="1224365815">
    <w:abstractNumId w:val="5"/>
  </w:num>
  <w:num w:numId="42" w16cid:durableId="456679760">
    <w:abstractNumId w:val="5"/>
  </w:num>
  <w:num w:numId="43" w16cid:durableId="1239824694">
    <w:abstractNumId w:val="5"/>
  </w:num>
  <w:num w:numId="44" w16cid:durableId="1485704079">
    <w:abstractNumId w:val="5"/>
  </w:num>
  <w:num w:numId="45" w16cid:durableId="197551656">
    <w:abstractNumId w:val="5"/>
  </w:num>
  <w:num w:numId="46" w16cid:durableId="488012774">
    <w:abstractNumId w:val="5"/>
  </w:num>
  <w:num w:numId="47" w16cid:durableId="626424786">
    <w:abstractNumId w:val="2"/>
  </w:num>
  <w:num w:numId="48" w16cid:durableId="69003773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659BF"/>
    <w:rsid w:val="00271B71"/>
    <w:rsid w:val="002720BA"/>
    <w:rsid w:val="00276514"/>
    <w:rsid w:val="002810D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66C05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1CC4"/>
    <w:rsid w:val="00CF3337"/>
    <w:rsid w:val="00CF3B2C"/>
    <w:rsid w:val="00D03BF2"/>
    <w:rsid w:val="00D0402F"/>
    <w:rsid w:val="00D20B1C"/>
    <w:rsid w:val="00D21F37"/>
    <w:rsid w:val="00D23DBF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EF2052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38FDA98"/>
  <w15:docId w15:val="{4492D657-F119-4632-B126-AD05D97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B832-E727-4341-9ACB-2BD0C204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</TotalTime>
  <Pages>10</Pages>
  <Words>2322</Words>
  <Characters>13701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15992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4</cp:revision>
  <cp:lastPrinted>2017-03-30T12:34:00Z</cp:lastPrinted>
  <dcterms:created xsi:type="dcterms:W3CDTF">2017-09-23T18:04:00Z</dcterms:created>
  <dcterms:modified xsi:type="dcterms:W3CDTF">2024-10-09T12:42:00Z</dcterms:modified>
</cp:coreProperties>
</file>